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方正小标宋简体" w:eastAsia="仿宋"/>
          <w:sz w:val="44"/>
          <w:szCs w:val="44"/>
          <w:lang w:eastAsia="zh-CN"/>
        </w:rPr>
      </w:pPr>
      <w:r>
        <w:rPr>
          <w:rFonts w:hint="default"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1</w:t>
      </w:r>
    </w:p>
    <w:p>
      <w:pPr>
        <w:spacing w:line="640" w:lineRule="exact"/>
        <w:jc w:val="center"/>
        <w:rPr>
          <w:rFonts w:hint="eastAsia" w:ascii="方正小标宋简体" w:eastAsia="方正小标宋简体"/>
          <w:sz w:val="44"/>
          <w:szCs w:val="44"/>
        </w:rPr>
      </w:pPr>
      <w:bookmarkStart w:id="1" w:name="_GoBack"/>
      <w:bookmarkEnd w:id="1"/>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市发展改革委“双随机、一公开”监管推进工作领导小组</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val="en-US" w:eastAsia="zh-CN"/>
        </w:rPr>
        <w:t xml:space="preserve">陈思林 </w:t>
      </w:r>
      <w:r>
        <w:rPr>
          <w:rFonts w:hint="eastAsia" w:ascii="仿宋_GB2312" w:hAnsi="仿宋_GB2312" w:eastAsia="仿宋_GB2312" w:cs="仿宋_GB2312"/>
          <w:sz w:val="32"/>
          <w:szCs w:val="32"/>
        </w:rPr>
        <w:t>党组书记、主任</w:t>
      </w:r>
    </w:p>
    <w:p>
      <w:pPr>
        <w:keepNext w:val="0"/>
        <w:keepLines w:val="0"/>
        <w:pageBreakBefore w:val="0"/>
        <w:widowControl w:val="0"/>
        <w:kinsoku/>
        <w:wordWrap/>
        <w:overflowPunct/>
        <w:topLinePunct w:val="0"/>
        <w:autoSpaceDE/>
        <w:bidi w:val="0"/>
        <w:adjustRightInd/>
        <w:snapToGrid w:val="0"/>
        <w:spacing w:line="560" w:lineRule="exact"/>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吴国栋 </w:t>
      </w:r>
      <w:r>
        <w:rPr>
          <w:rFonts w:hint="eastAsia" w:ascii="仿宋_GB2312" w:hAnsi="仿宋_GB2312" w:eastAsia="仿宋_GB2312" w:cs="仿宋_GB2312"/>
          <w:sz w:val="32"/>
          <w:szCs w:val="32"/>
        </w:rPr>
        <w:t>党组成员、</w:t>
      </w:r>
      <w:r>
        <w:rPr>
          <w:rFonts w:hint="eastAsia" w:ascii="仿宋_GB2312" w:hAnsi="仿宋_GB2312" w:eastAsia="仿宋_GB2312" w:cs="仿宋_GB2312"/>
          <w:sz w:val="32"/>
          <w:szCs w:val="32"/>
          <w:lang w:eastAsia="zh-CN"/>
        </w:rPr>
        <w:t>市南部办主任</w:t>
      </w:r>
    </w:p>
    <w:p>
      <w:pPr>
        <w:ind w:left="3195" w:leftChars="912" w:hanging="1280" w:hangingChars="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王召槐 </w:t>
      </w:r>
      <w:r>
        <w:rPr>
          <w:rFonts w:hint="eastAsia" w:ascii="仿宋_GB2312" w:hAnsi="仿宋_GB2312" w:eastAsia="仿宋_GB2312" w:cs="仿宋_GB2312"/>
          <w:sz w:val="32"/>
          <w:szCs w:val="32"/>
        </w:rPr>
        <w:t>党组成员、</w:t>
      </w:r>
      <w:r>
        <w:rPr>
          <w:rFonts w:hint="eastAsia" w:ascii="仿宋_GB2312" w:hAnsi="仿宋_GB2312" w:eastAsia="仿宋_GB2312" w:cs="仿宋_GB2312"/>
          <w:sz w:val="32"/>
          <w:szCs w:val="32"/>
          <w:lang w:eastAsia="zh-CN"/>
        </w:rPr>
        <w:t>市能源事业发展中心主任</w:t>
      </w:r>
    </w:p>
    <w:p>
      <w:pPr>
        <w:keepNext w:val="0"/>
        <w:keepLines w:val="0"/>
        <w:pageBreakBefore w:val="0"/>
        <w:widowControl w:val="0"/>
        <w:kinsoku/>
        <w:wordWrap/>
        <w:overflowPunct/>
        <w:topLinePunct w:val="0"/>
        <w:autoSpaceDE/>
        <w:bidi w:val="0"/>
        <w:adjustRightInd/>
        <w:snapToGrid w:val="0"/>
        <w:spacing w:line="560" w:lineRule="exact"/>
        <w:ind w:firstLine="1920" w:firstLineChars="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 xml:space="preserve">范继英 </w:t>
      </w:r>
      <w:r>
        <w:rPr>
          <w:rFonts w:hint="eastAsia" w:ascii="仿宋_GB2312" w:hAnsi="仿宋_GB2312" w:eastAsia="仿宋_GB2312" w:cs="仿宋_GB2312"/>
          <w:sz w:val="32"/>
          <w:szCs w:val="32"/>
        </w:rPr>
        <w:t>党组成员、</w:t>
      </w:r>
      <w:r>
        <w:rPr>
          <w:rFonts w:hint="eastAsia" w:ascii="仿宋_GB2312" w:hAnsi="仿宋_GB2312" w:eastAsia="仿宋_GB2312" w:cs="仿宋_GB2312"/>
          <w:sz w:val="32"/>
          <w:szCs w:val="32"/>
          <w:lang w:eastAsia="zh-CN"/>
        </w:rPr>
        <w:t>市物流办主任</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许  珂 </w:t>
      </w:r>
      <w:r>
        <w:rPr>
          <w:rFonts w:hint="eastAsia" w:ascii="仿宋_GB2312" w:hAnsi="仿宋_GB2312" w:eastAsia="仿宋_GB2312" w:cs="仿宋_GB2312"/>
          <w:sz w:val="32"/>
          <w:szCs w:val="32"/>
        </w:rPr>
        <w:t>党组成员、副主任</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魏新军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党组成员</w:t>
      </w:r>
      <w:r>
        <w:rPr>
          <w:rFonts w:hint="eastAsia" w:ascii="仿宋_GB2312" w:hAnsi="仿宋_GB2312" w:eastAsia="仿宋_GB2312" w:cs="仿宋_GB2312"/>
          <w:sz w:val="32"/>
          <w:szCs w:val="32"/>
        </w:rPr>
        <w:t>、副主任</w:t>
      </w:r>
    </w:p>
    <w:p>
      <w:pPr>
        <w:ind w:firstLine="1920" w:firstLineChars="6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武继刚</w:t>
      </w:r>
      <w:r>
        <w:rPr>
          <w:rFonts w:hint="eastAsia" w:ascii="仿宋_GB2312" w:hAnsi="仿宋_GB2312" w:eastAsia="仿宋_GB2312" w:cs="仿宋_GB2312"/>
          <w:sz w:val="32"/>
          <w:szCs w:val="32"/>
          <w:lang w:val="en-US" w:eastAsia="zh-CN"/>
        </w:rPr>
        <w:t xml:space="preserve"> 市能源综合执法支队支队</w:t>
      </w:r>
      <w:r>
        <w:rPr>
          <w:rFonts w:hint="eastAsia" w:ascii="仿宋_GB2312" w:hAnsi="仿宋_GB2312" w:eastAsia="仿宋_GB2312" w:cs="仿宋_GB2312"/>
          <w:sz w:val="32"/>
          <w:szCs w:val="32"/>
          <w:lang w:eastAsia="zh-CN"/>
        </w:rPr>
        <w:t>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w:t>
      </w:r>
      <w:r>
        <w:rPr>
          <w:rFonts w:hint="eastAsia" w:ascii="仿宋_GB2312" w:hAnsi="仿宋_GB2312" w:eastAsia="仿宋_GB2312" w:cs="仿宋_GB2312"/>
          <w:sz w:val="32"/>
          <w:szCs w:val="32"/>
          <w:lang w:val="en-US" w:eastAsia="zh-CN"/>
        </w:rPr>
        <w:t xml:space="preserve">周国文  </w:t>
      </w:r>
      <w:r>
        <w:rPr>
          <w:rFonts w:hint="eastAsia" w:ascii="仿宋_GB2312" w:hAnsi="仿宋_GB2312" w:eastAsia="仿宋_GB2312" w:cs="仿宋_GB2312"/>
          <w:sz w:val="32"/>
          <w:szCs w:val="32"/>
        </w:rPr>
        <w:t>办公室主任</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高维峰  </w:t>
      </w:r>
      <w:r>
        <w:rPr>
          <w:rFonts w:hint="eastAsia" w:ascii="仿宋_GB2312" w:hAnsi="仿宋_GB2312" w:eastAsia="仿宋_GB2312" w:cs="仿宋_GB2312"/>
          <w:sz w:val="32"/>
          <w:szCs w:val="32"/>
          <w:lang w:eastAsia="zh-CN"/>
        </w:rPr>
        <w:t>人事科科长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贺  莉  政策法规科二级主任科员</w:t>
      </w:r>
    </w:p>
    <w:p>
      <w:pPr>
        <w:ind w:firstLine="1920" w:firstLineChars="6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尤国范  </w:t>
      </w:r>
      <w:r>
        <w:rPr>
          <w:rFonts w:hint="eastAsia" w:ascii="仿宋_GB2312" w:hAnsi="仿宋_GB2312" w:eastAsia="仿宋_GB2312" w:cs="仿宋_GB2312"/>
          <w:sz w:val="32"/>
          <w:szCs w:val="32"/>
        </w:rPr>
        <w:t>固定资产投资</w:t>
      </w:r>
      <w:r>
        <w:rPr>
          <w:rFonts w:hint="eastAsia" w:ascii="仿宋_GB2312" w:hAnsi="仿宋_GB2312" w:eastAsia="仿宋_GB2312" w:cs="仿宋_GB2312"/>
          <w:sz w:val="32"/>
          <w:szCs w:val="32"/>
          <w:lang w:eastAsia="zh-CN"/>
        </w:rPr>
        <w:t>科科长</w:t>
      </w:r>
    </w:p>
    <w:p>
      <w:pPr>
        <w:ind w:left="3515" w:leftChars="912" w:hanging="1600" w:hangingChars="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董晓玲</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财政金融和信用建设科科长</w:t>
      </w:r>
    </w:p>
    <w:p>
      <w:pPr>
        <w:ind w:left="3515" w:leftChars="912" w:hanging="1600" w:hanging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涛  农村经济科二级主任科员</w:t>
      </w:r>
    </w:p>
    <w:p>
      <w:pPr>
        <w:ind w:left="3515" w:leftChars="912" w:hanging="1600" w:hanging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石光涛  原区域办科长</w:t>
      </w:r>
    </w:p>
    <w:p>
      <w:pPr>
        <w:ind w:left="3515" w:leftChars="912" w:hanging="1600" w:hanging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邵俊达  社会发展科科长</w:t>
      </w:r>
    </w:p>
    <w:p>
      <w:pPr>
        <w:ind w:left="3515" w:leftChars="912" w:hanging="1600" w:hangingChars="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马士学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能源科科长</w:t>
      </w:r>
    </w:p>
    <w:p>
      <w:pPr>
        <w:ind w:left="3515" w:leftChars="912" w:hanging="1600" w:hanging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lang w:val="en-US" w:eastAsia="zh-CN"/>
        </w:rPr>
        <w:t xml:space="preserve">  华  高技术科科长</w:t>
      </w:r>
    </w:p>
    <w:p>
      <w:pPr>
        <w:ind w:left="3515" w:leftChars="912" w:hanging="1600" w:hangingChars="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节能和资源环境科科长</w:t>
      </w:r>
    </w:p>
    <w:p>
      <w:pPr>
        <w:ind w:firstLine="1920" w:firstLineChars="6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重点项目管理办公室主任</w:t>
      </w:r>
    </w:p>
    <w:p>
      <w:pPr>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杨</w:t>
      </w:r>
      <w:r>
        <w:rPr>
          <w:rFonts w:hint="eastAsia" w:ascii="仿宋_GB2312" w:hAnsi="仿宋_GB2312" w:eastAsia="仿宋_GB2312" w:cs="仿宋_GB2312"/>
          <w:sz w:val="32"/>
          <w:szCs w:val="32"/>
          <w:lang w:val="en-US" w:eastAsia="zh-CN"/>
        </w:rPr>
        <w:t xml:space="preserve">  岩  价格管理科科长</w:t>
      </w:r>
    </w:p>
    <w:p>
      <w:pPr>
        <w:ind w:left="3515" w:leftChars="912" w:hanging="1600" w:hanging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山</w:t>
      </w:r>
      <w:r>
        <w:rPr>
          <w:rFonts w:hint="eastAsia" w:ascii="仿宋_GB2312" w:hAnsi="仿宋_GB2312" w:eastAsia="仿宋_GB2312" w:cs="仿宋_GB2312"/>
          <w:sz w:val="32"/>
          <w:szCs w:val="32"/>
          <w:lang w:val="en-US" w:eastAsia="zh-CN"/>
        </w:rPr>
        <w:t xml:space="preserve">  粮食和物质储备科科长</w:t>
      </w:r>
    </w:p>
    <w:p>
      <w:pPr>
        <w:ind w:left="3515" w:leftChars="912" w:hanging="1600" w:hanging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  婷  粮食监管科科长</w:t>
      </w:r>
    </w:p>
    <w:p>
      <w:pPr>
        <w:ind w:left="3515" w:leftChars="912" w:hanging="1600" w:hanging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王俊美  行政服务大厅正科级干部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领导小组办公室设在</w:t>
      </w:r>
      <w:r>
        <w:rPr>
          <w:rFonts w:hint="eastAsia" w:ascii="仿宋_GB2312" w:hAnsi="仿宋_GB2312" w:eastAsia="仿宋_GB2312" w:cs="仿宋_GB2312"/>
          <w:sz w:val="32"/>
          <w:szCs w:val="32"/>
          <w:lang w:eastAsia="zh-CN"/>
        </w:rPr>
        <w:t>政策法规科</w:t>
      </w:r>
      <w:r>
        <w:rPr>
          <w:rFonts w:hint="eastAsia" w:ascii="仿宋_GB2312" w:hAnsi="仿宋_GB2312" w:eastAsia="仿宋_GB2312" w:cs="仿宋_GB2312"/>
          <w:sz w:val="32"/>
          <w:szCs w:val="32"/>
        </w:rPr>
        <w:t>，承担领导小组日常工作。</w:t>
      </w:r>
    </w:p>
    <w:p>
      <w:pPr>
        <w:ind w:left="3515" w:leftChars="912" w:hanging="1600" w:hangingChars="500"/>
        <w:rPr>
          <w:rFonts w:hint="eastAsia" w:ascii="仿宋_GB2312" w:hAnsi="仿宋_GB2312" w:eastAsia="仿宋_GB2312" w:cs="仿宋_GB2312"/>
          <w:sz w:val="32"/>
          <w:szCs w:val="32"/>
          <w:lang w:val="en-US" w:eastAsia="zh-CN"/>
        </w:rPr>
      </w:pPr>
    </w:p>
    <w:p>
      <w:pPr>
        <w:ind w:left="3515" w:leftChars="912" w:hanging="1600" w:hangingChars="500"/>
        <w:rPr>
          <w:rFonts w:hint="eastAsia" w:ascii="仿宋_GB2312" w:hAnsi="仿宋_GB2312" w:eastAsia="仿宋_GB2312" w:cs="仿宋_GB2312"/>
          <w:sz w:val="32"/>
          <w:szCs w:val="32"/>
          <w:lang w:val="en-US" w:eastAsia="zh-CN"/>
        </w:rPr>
      </w:pPr>
    </w:p>
    <w:p>
      <w:pPr>
        <w:ind w:left="3515" w:leftChars="912" w:hanging="1600" w:hangingChars="500"/>
        <w:rPr>
          <w:rFonts w:hint="eastAsia" w:ascii="仿宋_GB2312" w:hAnsi="仿宋_GB2312" w:eastAsia="仿宋_GB2312" w:cs="仿宋_GB2312"/>
          <w:sz w:val="32"/>
          <w:szCs w:val="32"/>
          <w:lang w:val="en-US" w:eastAsia="zh-CN"/>
        </w:rPr>
      </w:pPr>
    </w:p>
    <w:p>
      <w:pPr>
        <w:ind w:left="3515" w:leftChars="912" w:hanging="1600" w:hangingChars="500"/>
        <w:rPr>
          <w:rFonts w:hint="eastAsia" w:ascii="仿宋_GB2312" w:hAnsi="仿宋_GB2312" w:eastAsia="仿宋_GB2312" w:cs="仿宋_GB2312"/>
          <w:sz w:val="32"/>
          <w:szCs w:val="32"/>
          <w:lang w:val="en-US" w:eastAsia="zh-CN"/>
        </w:rPr>
      </w:pPr>
    </w:p>
    <w:p>
      <w:pPr>
        <w:ind w:left="3515" w:leftChars="912" w:hanging="1600" w:hangingChars="500"/>
        <w:rPr>
          <w:rFonts w:hint="eastAsia" w:ascii="仿宋_GB2312" w:hAnsi="仿宋_GB2312" w:eastAsia="仿宋_GB2312" w:cs="仿宋_GB2312"/>
          <w:sz w:val="32"/>
          <w:szCs w:val="32"/>
          <w:lang w:val="en-US" w:eastAsia="zh-CN"/>
        </w:rPr>
      </w:pPr>
    </w:p>
    <w:p>
      <w:pPr>
        <w:ind w:left="3515" w:leftChars="912" w:hanging="1600" w:hangingChars="500"/>
        <w:rPr>
          <w:rFonts w:hint="eastAsia" w:ascii="仿宋_GB2312" w:hAnsi="仿宋_GB2312" w:eastAsia="仿宋_GB2312" w:cs="仿宋_GB2312"/>
          <w:sz w:val="32"/>
          <w:szCs w:val="32"/>
          <w:lang w:val="en-US" w:eastAsia="zh-CN"/>
        </w:rPr>
      </w:pPr>
    </w:p>
    <w:p>
      <w:pPr>
        <w:ind w:left="3515" w:leftChars="912" w:hanging="1600" w:hangingChars="500"/>
        <w:rPr>
          <w:rFonts w:hint="eastAsia" w:ascii="仿宋_GB2312" w:hAnsi="仿宋_GB2312" w:eastAsia="仿宋_GB2312" w:cs="仿宋_GB2312"/>
          <w:sz w:val="32"/>
          <w:szCs w:val="32"/>
          <w:lang w:val="en-US" w:eastAsia="zh-CN"/>
        </w:rPr>
      </w:pPr>
    </w:p>
    <w:p>
      <w:pPr>
        <w:ind w:left="3515" w:leftChars="912" w:hanging="1600" w:hangingChars="500"/>
        <w:rPr>
          <w:rFonts w:hint="eastAsia" w:ascii="仿宋_GB2312" w:hAnsi="仿宋_GB2312" w:eastAsia="仿宋_GB2312" w:cs="仿宋_GB2312"/>
          <w:sz w:val="32"/>
          <w:szCs w:val="32"/>
          <w:lang w:val="en-US" w:eastAsia="zh-CN"/>
        </w:rPr>
      </w:pPr>
    </w:p>
    <w:p>
      <w:pPr>
        <w:ind w:left="3515" w:leftChars="912" w:hanging="1600" w:hangingChars="500"/>
        <w:rPr>
          <w:rFonts w:hint="eastAsia" w:ascii="仿宋_GB2312" w:hAnsi="仿宋_GB2312" w:eastAsia="仿宋_GB2312" w:cs="仿宋_GB2312"/>
          <w:sz w:val="32"/>
          <w:szCs w:val="32"/>
          <w:lang w:val="en-US" w:eastAsia="zh-CN"/>
        </w:rPr>
      </w:pPr>
    </w:p>
    <w:p>
      <w:pPr>
        <w:ind w:left="3515" w:leftChars="912" w:hanging="1600" w:hangingChars="500"/>
        <w:rPr>
          <w:rFonts w:hint="eastAsia" w:ascii="仿宋_GB2312" w:hAnsi="仿宋_GB2312" w:eastAsia="仿宋_GB2312" w:cs="仿宋_GB2312"/>
          <w:sz w:val="32"/>
          <w:szCs w:val="32"/>
          <w:lang w:val="en-US" w:eastAsia="zh-CN"/>
        </w:rPr>
      </w:pPr>
    </w:p>
    <w:p>
      <w:pPr>
        <w:ind w:left="3515" w:leftChars="912" w:hanging="1600" w:hangingChars="500"/>
        <w:rPr>
          <w:rFonts w:hint="eastAsia" w:ascii="仿宋_GB2312" w:hAnsi="仿宋_GB2312" w:eastAsia="仿宋_GB2312" w:cs="仿宋_GB2312"/>
          <w:sz w:val="32"/>
          <w:szCs w:val="32"/>
          <w:lang w:val="en-US" w:eastAsia="zh-CN"/>
        </w:rPr>
        <w:sectPr>
          <w:footerReference r:id="rId3" w:type="default"/>
          <w:pgSz w:w="11906" w:h="16838"/>
          <w:pgMar w:top="2098" w:right="1474" w:bottom="1984" w:left="1587" w:header="851" w:footer="1984" w:gutter="0"/>
          <w:pgNumType w:fmt="numberInDash"/>
          <w:cols w:space="0" w:num="1"/>
          <w:rtlGutter w:val="0"/>
          <w:docGrid w:type="lines" w:linePitch="312" w:charSpace="0"/>
        </w:sectPr>
      </w:pPr>
    </w:p>
    <w:p>
      <w:pPr>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附件2</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淄博</w:t>
      </w:r>
      <w:r>
        <w:rPr>
          <w:rFonts w:hint="default" w:ascii="Times New Roman" w:hAnsi="Times New Roman" w:eastAsia="方正小标宋简体" w:cs="Times New Roman"/>
          <w:sz w:val="44"/>
          <w:szCs w:val="44"/>
        </w:rPr>
        <w:t>市发展改革系统“双随机、一公开”监管随机抽查事项清单</w:t>
      </w:r>
    </w:p>
    <w:tbl>
      <w:tblPr>
        <w:tblStyle w:val="3"/>
        <w:tblW w:w="14014"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9"/>
        <w:gridCol w:w="890"/>
        <w:gridCol w:w="587"/>
        <w:gridCol w:w="3834"/>
        <w:gridCol w:w="555"/>
        <w:gridCol w:w="495"/>
        <w:gridCol w:w="870"/>
        <w:gridCol w:w="1110"/>
        <w:gridCol w:w="3768"/>
        <w:gridCol w:w="731"/>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8" w:hRule="atLeast"/>
          <w:tblHeader/>
        </w:trPr>
        <w:tc>
          <w:tcPr>
            <w:tcW w:w="409" w:type="dxa"/>
            <w:vAlign w:val="center"/>
          </w:tcPr>
          <w:p>
            <w:pPr>
              <w:widowControl/>
              <w:jc w:val="center"/>
              <w:rPr>
                <w:rFonts w:hint="default" w:ascii="Times New Roman" w:hAnsi="Times New Roman" w:eastAsia="黑体" w:cs="Times New Roman"/>
                <w:color w:val="000000"/>
                <w:kern w:val="0"/>
                <w:szCs w:val="21"/>
              </w:rPr>
            </w:pPr>
            <w:bookmarkStart w:id="0" w:name="RANGE!A1:L14"/>
            <w:r>
              <w:rPr>
                <w:rFonts w:hint="default" w:ascii="Times New Roman" w:hAnsi="Times New Roman" w:eastAsia="黑体" w:cs="Times New Roman"/>
                <w:color w:val="000000"/>
                <w:kern w:val="0"/>
                <w:szCs w:val="21"/>
              </w:rPr>
              <w:t>序号</w:t>
            </w:r>
            <w:bookmarkEnd w:id="0"/>
          </w:p>
        </w:tc>
        <w:tc>
          <w:tcPr>
            <w:tcW w:w="890" w:type="dxa"/>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抽查事项</w:t>
            </w:r>
          </w:p>
        </w:tc>
        <w:tc>
          <w:tcPr>
            <w:tcW w:w="587" w:type="dxa"/>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检查对象</w:t>
            </w:r>
          </w:p>
        </w:tc>
        <w:tc>
          <w:tcPr>
            <w:tcW w:w="3834" w:type="dxa"/>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抽查内容</w:t>
            </w:r>
          </w:p>
        </w:tc>
        <w:tc>
          <w:tcPr>
            <w:tcW w:w="555" w:type="dxa"/>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事项类别</w:t>
            </w:r>
          </w:p>
        </w:tc>
        <w:tc>
          <w:tcPr>
            <w:tcW w:w="495" w:type="dxa"/>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检查</w:t>
            </w:r>
          </w:p>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方式</w:t>
            </w:r>
          </w:p>
        </w:tc>
        <w:tc>
          <w:tcPr>
            <w:tcW w:w="870" w:type="dxa"/>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抽检比例及频次</w:t>
            </w:r>
          </w:p>
        </w:tc>
        <w:tc>
          <w:tcPr>
            <w:tcW w:w="1110" w:type="dxa"/>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检查部门及实施层级</w:t>
            </w:r>
          </w:p>
        </w:tc>
        <w:tc>
          <w:tcPr>
            <w:tcW w:w="3768" w:type="dxa"/>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设定依据</w:t>
            </w:r>
          </w:p>
        </w:tc>
        <w:tc>
          <w:tcPr>
            <w:tcW w:w="731" w:type="dxa"/>
            <w:vAlign w:val="center"/>
          </w:tcPr>
          <w:p>
            <w:pPr>
              <w:widowControl/>
              <w:jc w:val="center"/>
              <w:rPr>
                <w:rFonts w:hint="default" w:ascii="Times New Roman" w:hAnsi="Times New Roman" w:eastAsia="黑体" w:cs="Times New Roman"/>
                <w:color w:val="000000"/>
                <w:kern w:val="0"/>
                <w:szCs w:val="21"/>
                <w:lang w:eastAsia="zh-CN"/>
              </w:rPr>
            </w:pPr>
            <w:r>
              <w:rPr>
                <w:rFonts w:hint="default" w:ascii="Times New Roman" w:hAnsi="Times New Roman" w:eastAsia="黑体" w:cs="Times New Roman"/>
                <w:color w:val="000000"/>
                <w:kern w:val="0"/>
                <w:szCs w:val="21"/>
                <w:lang w:eastAsia="zh-CN"/>
              </w:rPr>
              <w:t>牵头责任科室</w:t>
            </w:r>
          </w:p>
        </w:tc>
        <w:tc>
          <w:tcPr>
            <w:tcW w:w="765" w:type="dxa"/>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14" w:hRule="atLeast"/>
        </w:trPr>
        <w:tc>
          <w:tcPr>
            <w:tcW w:w="409" w:type="dxa"/>
            <w:vAlign w:val="center"/>
          </w:tcPr>
          <w:p>
            <w:pPr>
              <w:widowControl/>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w:t>
            </w:r>
          </w:p>
        </w:tc>
        <w:tc>
          <w:tcPr>
            <w:tcW w:w="8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对节能审查意见落实情况的行政检查</w:t>
            </w:r>
          </w:p>
        </w:tc>
        <w:tc>
          <w:tcPr>
            <w:tcW w:w="587"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建设单位</w:t>
            </w:r>
          </w:p>
        </w:tc>
        <w:tc>
          <w:tcPr>
            <w:tcW w:w="383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1.建设方案落实情况；</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2.节能技术措施落实情况；</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3.节能管理措施落实情况；</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4.能效水平落实情况；</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5.能源消费总量落实情况；</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6.其他相关内容。</w:t>
            </w:r>
          </w:p>
        </w:tc>
        <w:tc>
          <w:tcPr>
            <w:tcW w:w="55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一般检查</w:t>
            </w:r>
            <w:r>
              <w:rPr>
                <w:rFonts w:hint="eastAsia" w:ascii="仿宋_GB2312" w:hAnsi="仿宋_GB2312" w:eastAsia="仿宋_GB2312" w:cs="仿宋_GB2312"/>
                <w:color w:val="000000"/>
                <w:kern w:val="0"/>
                <w:szCs w:val="21"/>
                <w:lang w:eastAsia="zh-CN"/>
              </w:rPr>
              <w:t>事项</w:t>
            </w:r>
          </w:p>
        </w:tc>
        <w:tc>
          <w:tcPr>
            <w:tcW w:w="49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现场核查</w:t>
            </w:r>
          </w:p>
        </w:tc>
        <w:tc>
          <w:tcPr>
            <w:tcW w:w="87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lang w:eastAsia="zh-CN"/>
              </w:rPr>
              <w:t>（已完工项目），每年一次</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w:t>
            </w:r>
            <w:r>
              <w:rPr>
                <w:rFonts w:hint="eastAsia" w:ascii="仿宋_GB2312" w:hAnsi="仿宋_GB2312" w:eastAsia="仿宋_GB2312" w:cs="仿宋_GB2312"/>
                <w:color w:val="000000"/>
                <w:kern w:val="0"/>
                <w:szCs w:val="21"/>
                <w:lang w:eastAsia="zh-CN"/>
              </w:rPr>
              <w:t>区</w:t>
            </w:r>
            <w:r>
              <w:rPr>
                <w:rFonts w:hint="eastAsia" w:ascii="仿宋_GB2312" w:hAnsi="仿宋_GB2312" w:eastAsia="仿宋_GB2312" w:cs="仿宋_GB2312"/>
                <w:color w:val="000000"/>
                <w:kern w:val="0"/>
                <w:szCs w:val="21"/>
              </w:rPr>
              <w:t>县两级</w:t>
            </w:r>
            <w:r>
              <w:rPr>
                <w:rFonts w:hint="eastAsia" w:ascii="仿宋_GB2312" w:hAnsi="仿宋_GB2312" w:eastAsia="仿宋_GB2312" w:cs="仿宋_GB2312"/>
                <w:color w:val="000000"/>
                <w:kern w:val="0"/>
                <w:szCs w:val="21"/>
                <w:lang w:eastAsia="zh-CN"/>
              </w:rPr>
              <w:t>节能审查</w:t>
            </w:r>
            <w:r>
              <w:rPr>
                <w:rFonts w:hint="eastAsia" w:ascii="仿宋_GB2312" w:hAnsi="仿宋_GB2312" w:eastAsia="仿宋_GB2312" w:cs="仿宋_GB2312"/>
                <w:color w:val="000000"/>
                <w:kern w:val="0"/>
                <w:szCs w:val="21"/>
              </w:rPr>
              <w:t>部门</w:t>
            </w:r>
          </w:p>
        </w:tc>
        <w:tc>
          <w:tcPr>
            <w:tcW w:w="3768"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bCs/>
                <w:color w:val="000000"/>
                <w:kern w:val="0"/>
                <w:szCs w:val="21"/>
                <w:lang w:eastAsia="zh-CN"/>
              </w:rPr>
            </w:pPr>
            <w:r>
              <w:rPr>
                <w:rFonts w:hint="eastAsia" w:ascii="仿宋_GB2312" w:hAnsi="仿宋_GB2312" w:eastAsia="仿宋_GB2312" w:cs="仿宋_GB2312"/>
                <w:bCs/>
                <w:color w:val="000000"/>
                <w:kern w:val="0"/>
                <w:szCs w:val="21"/>
              </w:rPr>
              <w:t>《固定资产投资项目节能审查办法》(国家发展改革委令2016年11月第4号)第十二条:“节能审查机关应加强节能审查信息的统计分析,强化事中事后监管对节能审查意见落实情况进行监督检查</w:t>
            </w:r>
            <w:r>
              <w:rPr>
                <w:rFonts w:hint="eastAsia" w:ascii="仿宋_GB2312" w:hAnsi="仿宋_GB2312" w:eastAsia="仿宋_GB2312" w:cs="仿宋_GB2312"/>
                <w:bCs/>
                <w:color w:val="000000"/>
                <w:kern w:val="0"/>
                <w:szCs w:val="21"/>
                <w:lang w:eastAsia="zh-CN"/>
              </w:rPr>
              <w:t>，</w:t>
            </w:r>
            <w:r>
              <w:rPr>
                <w:rFonts w:hint="eastAsia" w:ascii="仿宋_GB2312" w:hAnsi="仿宋_GB2312" w:eastAsia="仿宋_GB2312" w:cs="仿宋_GB2312"/>
                <w:bCs/>
                <w:color w:val="000000"/>
                <w:kern w:val="0"/>
                <w:szCs w:val="21"/>
              </w:rPr>
              <w:t>省级节能审查机关应按季度向国家发展改革委报送本地区节能审查实施情况</w:t>
            </w:r>
            <w:r>
              <w:rPr>
                <w:rFonts w:hint="eastAsia" w:ascii="仿宋_GB2312" w:hAnsi="仿宋_GB2312" w:eastAsia="仿宋_GB2312" w:cs="仿宋_GB2312"/>
                <w:bCs/>
                <w:color w:val="000000"/>
                <w:kern w:val="0"/>
                <w:szCs w:val="21"/>
                <w:lang w:eastAsia="zh-CN"/>
              </w:rPr>
              <w:t>。”</w:t>
            </w:r>
          </w:p>
        </w:tc>
        <w:tc>
          <w:tcPr>
            <w:tcW w:w="73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bCs/>
                <w:color w:val="000000"/>
                <w:kern w:val="0"/>
                <w:szCs w:val="21"/>
                <w:lang w:eastAsia="zh-CN"/>
              </w:rPr>
            </w:pPr>
            <w:r>
              <w:rPr>
                <w:rFonts w:hint="eastAsia" w:ascii="仿宋_GB2312" w:hAnsi="仿宋_GB2312" w:eastAsia="仿宋_GB2312" w:cs="仿宋_GB2312"/>
                <w:bCs/>
                <w:color w:val="000000"/>
                <w:kern w:val="0"/>
                <w:szCs w:val="21"/>
                <w:lang w:eastAsia="zh-CN"/>
              </w:rPr>
              <w:t>行政许可大厅</w:t>
            </w:r>
          </w:p>
        </w:tc>
        <w:tc>
          <w:tcPr>
            <w:tcW w:w="765" w:type="dxa"/>
            <w:vAlign w:val="center"/>
          </w:tcPr>
          <w:p>
            <w:pPr>
              <w:widowControl/>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84" w:hRule="atLeast"/>
        </w:trPr>
        <w:tc>
          <w:tcPr>
            <w:tcW w:w="409" w:type="dxa"/>
            <w:vAlign w:val="center"/>
          </w:tcPr>
          <w:p>
            <w:pPr>
              <w:widowControl/>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w:t>
            </w:r>
          </w:p>
        </w:tc>
        <w:tc>
          <w:tcPr>
            <w:tcW w:w="8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对已开工企业投资核准项目的行政检查</w:t>
            </w:r>
          </w:p>
        </w:tc>
        <w:tc>
          <w:tcPr>
            <w:tcW w:w="587"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企业投资核准项目</w:t>
            </w:r>
          </w:p>
        </w:tc>
        <w:tc>
          <w:tcPr>
            <w:tcW w:w="3834"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1.是否通过全国投资项目在线审批监管平台，如实、及时报送项目开工建设、建设进度、竣工等建设实施基本信息；</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2.需要变更已核准建设地点或者对已核准建设规模、建设内容等作较大变更的，是否按规定办理变更手续；</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3.需要延期开工建设的，是否按规定办理延期开工建设手续；</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rPr>
              <w:t>4.是否按照核准的建设地点、建设规模、建设内容等进行建设。</w:t>
            </w:r>
          </w:p>
        </w:tc>
        <w:tc>
          <w:tcPr>
            <w:tcW w:w="55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重点检查与</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一般检查相结合</w:t>
            </w:r>
          </w:p>
        </w:tc>
        <w:tc>
          <w:tcPr>
            <w:tcW w:w="49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现场核查</w:t>
            </w:r>
          </w:p>
        </w:tc>
        <w:tc>
          <w:tcPr>
            <w:tcW w:w="87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1.至少1次/项目（已开工项目）</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2.已完成1次核查后转入随机抽查，按5%比例，每年一次</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w:t>
            </w:r>
            <w:r>
              <w:rPr>
                <w:rFonts w:hint="eastAsia" w:ascii="仿宋_GB2312" w:hAnsi="仿宋_GB2312" w:eastAsia="仿宋_GB2312" w:cs="仿宋_GB2312"/>
                <w:color w:val="000000"/>
                <w:kern w:val="0"/>
                <w:szCs w:val="21"/>
                <w:lang w:eastAsia="zh-CN"/>
              </w:rPr>
              <w:t>区</w:t>
            </w:r>
            <w:r>
              <w:rPr>
                <w:rFonts w:hint="eastAsia" w:ascii="仿宋_GB2312" w:hAnsi="仿宋_GB2312" w:eastAsia="仿宋_GB2312" w:cs="仿宋_GB2312"/>
                <w:color w:val="000000"/>
                <w:kern w:val="0"/>
                <w:szCs w:val="21"/>
              </w:rPr>
              <w:t>县两级发展改革部门</w:t>
            </w:r>
          </w:p>
        </w:tc>
        <w:tc>
          <w:tcPr>
            <w:tcW w:w="3768"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《企业投资项目事中事后监管办法》（国家发展改革委令2018年1月第14号）第八条</w:t>
            </w:r>
            <w:r>
              <w:rPr>
                <w:rFonts w:hint="eastAsia" w:ascii="仿宋_GB2312" w:hAnsi="仿宋_GB2312" w:eastAsia="仿宋_GB2312" w:cs="仿宋_GB2312"/>
                <w:color w:val="000000"/>
                <w:kern w:val="0"/>
                <w:szCs w:val="21"/>
              </w:rPr>
              <w:t>：“核准机关对其核准的项目，应当在项目开工后至少开展一次现场核查。”</w:t>
            </w:r>
          </w:p>
        </w:tc>
        <w:tc>
          <w:tcPr>
            <w:tcW w:w="73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bCs/>
                <w:color w:val="000000"/>
                <w:kern w:val="0"/>
                <w:szCs w:val="21"/>
                <w:lang w:eastAsia="zh-CN"/>
              </w:rPr>
            </w:pPr>
            <w:r>
              <w:rPr>
                <w:rFonts w:hint="eastAsia" w:ascii="仿宋_GB2312" w:hAnsi="仿宋_GB2312" w:eastAsia="仿宋_GB2312" w:cs="仿宋_GB2312"/>
                <w:bCs/>
                <w:color w:val="000000"/>
                <w:kern w:val="0"/>
                <w:szCs w:val="21"/>
                <w:lang w:eastAsia="zh-CN"/>
              </w:rPr>
              <w:t>行政许可大厅</w:t>
            </w:r>
          </w:p>
        </w:tc>
        <w:tc>
          <w:tcPr>
            <w:tcW w:w="765" w:type="dxa"/>
            <w:vAlign w:val="center"/>
          </w:tcPr>
          <w:p>
            <w:pPr>
              <w:widowControl/>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84" w:hRule="atLeast"/>
        </w:trPr>
        <w:tc>
          <w:tcPr>
            <w:tcW w:w="409" w:type="dxa"/>
            <w:vAlign w:val="center"/>
          </w:tcPr>
          <w:p>
            <w:pPr>
              <w:widowControl/>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w:t>
            </w:r>
          </w:p>
        </w:tc>
        <w:tc>
          <w:tcPr>
            <w:tcW w:w="8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对已开工企业投资备案项目的行政检查</w:t>
            </w:r>
          </w:p>
        </w:tc>
        <w:tc>
          <w:tcPr>
            <w:tcW w:w="587"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企业投资备案项目</w:t>
            </w:r>
          </w:p>
        </w:tc>
        <w:tc>
          <w:tcPr>
            <w:tcW w:w="3834"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1.是否通过全国投资项目在线审批监管平台，如实、及时报送项目开工建设、建设进度、竣工等建设实施基本信息；</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2.是否属于实行核准管理的项目；</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3.是否按照备案的建设地点、建设规模、建设内容进行建设；</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4.是否属于产业政策禁止投资建设的项目。</w:t>
            </w:r>
          </w:p>
        </w:tc>
        <w:tc>
          <w:tcPr>
            <w:tcW w:w="55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一般检查事项</w:t>
            </w:r>
          </w:p>
        </w:tc>
        <w:tc>
          <w:tcPr>
            <w:tcW w:w="49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现场核查</w:t>
            </w:r>
          </w:p>
        </w:tc>
        <w:tc>
          <w:tcPr>
            <w:tcW w:w="87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5%（已开工项目），每年一次</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w:t>
            </w:r>
            <w:r>
              <w:rPr>
                <w:rFonts w:hint="eastAsia" w:ascii="仿宋_GB2312" w:hAnsi="仿宋_GB2312" w:eastAsia="仿宋_GB2312" w:cs="仿宋_GB2312"/>
                <w:color w:val="000000"/>
                <w:kern w:val="0"/>
                <w:szCs w:val="21"/>
                <w:lang w:eastAsia="zh-CN"/>
              </w:rPr>
              <w:t>区</w:t>
            </w:r>
            <w:r>
              <w:rPr>
                <w:rFonts w:hint="eastAsia" w:ascii="仿宋_GB2312" w:hAnsi="仿宋_GB2312" w:eastAsia="仿宋_GB2312" w:cs="仿宋_GB2312"/>
                <w:color w:val="000000"/>
                <w:kern w:val="0"/>
                <w:szCs w:val="21"/>
              </w:rPr>
              <w:t>县两级发展改革部门</w:t>
            </w:r>
          </w:p>
        </w:tc>
        <w:tc>
          <w:tcPr>
            <w:tcW w:w="3768"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《企业投资项目事中事后监管办法》（国家发展改革委令2018年1月第14号）第十六条：</w:t>
            </w:r>
            <w:r>
              <w:rPr>
                <w:rFonts w:hint="eastAsia" w:ascii="仿宋_GB2312" w:hAnsi="仿宋_GB2312" w:eastAsia="仿宋_GB2312" w:cs="仿宋_GB2312"/>
                <w:color w:val="000000"/>
                <w:kern w:val="0"/>
                <w:szCs w:val="21"/>
              </w:rPr>
              <w:t>“备案机关对其备案的项目，应当根据‘双随机一公开’的原则，结合投资调控实际需要，定期制定现场核查计划。对列入现场核查计划的项目，应当在项目开工后至少开展一次现场核查。列入现场核查计划的项目数量比例，由备案机关根据实际确定。”</w:t>
            </w:r>
          </w:p>
        </w:tc>
        <w:tc>
          <w:tcPr>
            <w:tcW w:w="73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bCs/>
                <w:color w:val="000000"/>
                <w:kern w:val="0"/>
                <w:szCs w:val="21"/>
                <w:lang w:eastAsia="zh-CN"/>
              </w:rPr>
            </w:pPr>
            <w:r>
              <w:rPr>
                <w:rFonts w:hint="eastAsia" w:ascii="仿宋_GB2312" w:hAnsi="仿宋_GB2312" w:eastAsia="仿宋_GB2312" w:cs="仿宋_GB2312"/>
                <w:bCs/>
                <w:color w:val="000000"/>
                <w:kern w:val="0"/>
                <w:szCs w:val="21"/>
                <w:lang w:eastAsia="zh-CN"/>
              </w:rPr>
              <w:t>行政许可大厅</w:t>
            </w:r>
          </w:p>
        </w:tc>
        <w:tc>
          <w:tcPr>
            <w:tcW w:w="765" w:type="dxa"/>
            <w:vAlign w:val="center"/>
          </w:tcPr>
          <w:p>
            <w:pPr>
              <w:widowControl/>
              <w:jc w:val="left"/>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3" w:hRule="atLeast"/>
        </w:trPr>
        <w:tc>
          <w:tcPr>
            <w:tcW w:w="409" w:type="dxa"/>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4</w:t>
            </w:r>
          </w:p>
        </w:tc>
        <w:tc>
          <w:tcPr>
            <w:tcW w:w="8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政府投资重大项目监督管理和招标投标监督检查</w:t>
            </w:r>
          </w:p>
        </w:tc>
        <w:tc>
          <w:tcPr>
            <w:tcW w:w="587"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政府投资项目</w:t>
            </w:r>
          </w:p>
        </w:tc>
        <w:tc>
          <w:tcPr>
            <w:tcW w:w="3834"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1.是否按照批复的建设地点、建设规模、建设内容、概算总投资等内容进行建设；</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2.项目招标投标活动等。</w:t>
            </w:r>
          </w:p>
        </w:tc>
        <w:tc>
          <w:tcPr>
            <w:tcW w:w="55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一般检查事项</w:t>
            </w:r>
          </w:p>
        </w:tc>
        <w:tc>
          <w:tcPr>
            <w:tcW w:w="49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在线监测、现场核查等</w:t>
            </w:r>
          </w:p>
        </w:tc>
        <w:tc>
          <w:tcPr>
            <w:tcW w:w="87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5%，每年一次</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w:t>
            </w:r>
            <w:r>
              <w:rPr>
                <w:rFonts w:hint="eastAsia" w:ascii="仿宋_GB2312" w:hAnsi="仿宋_GB2312" w:eastAsia="仿宋_GB2312" w:cs="仿宋_GB2312"/>
                <w:color w:val="000000"/>
                <w:kern w:val="0"/>
                <w:szCs w:val="21"/>
                <w:lang w:eastAsia="zh-CN"/>
              </w:rPr>
              <w:t>区</w:t>
            </w:r>
            <w:r>
              <w:rPr>
                <w:rFonts w:hint="eastAsia" w:ascii="仿宋_GB2312" w:hAnsi="仿宋_GB2312" w:eastAsia="仿宋_GB2312" w:cs="仿宋_GB2312"/>
                <w:color w:val="000000"/>
                <w:kern w:val="0"/>
                <w:szCs w:val="21"/>
              </w:rPr>
              <w:t>县两级发展改革部门</w:t>
            </w:r>
          </w:p>
        </w:tc>
        <w:tc>
          <w:tcPr>
            <w:tcW w:w="3768"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000000"/>
                <w:kern w:val="0"/>
                <w:szCs w:val="21"/>
              </w:rPr>
              <w:t>1.《政府投资条例》（国务院令2019年4月第712号）第二十七条：</w:t>
            </w:r>
            <w:r>
              <w:rPr>
                <w:rFonts w:hint="eastAsia" w:ascii="仿宋_GB2312" w:hAnsi="仿宋_GB2312" w:eastAsia="仿宋_GB2312" w:cs="仿宋_GB2312"/>
                <w:color w:val="000000"/>
                <w:kern w:val="0"/>
                <w:szCs w:val="21"/>
              </w:rPr>
              <w:t>“投资主管部门和依法对政府投资项目负有监督管理职责的其他部门应当采取在线监测、现场核查等方式，加强对政府投资项目实施情况的监督检查。”</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000000"/>
                <w:kern w:val="0"/>
                <w:szCs w:val="21"/>
              </w:rPr>
              <w:t>2.《山东省实施&lt;中华人民共和国招标投标法&gt;办法》（2005年5月通过）第四条：</w:t>
            </w:r>
            <w:r>
              <w:rPr>
                <w:rFonts w:hint="eastAsia" w:ascii="仿宋_GB2312" w:hAnsi="仿宋_GB2312" w:eastAsia="仿宋_GB2312" w:cs="仿宋_GB2312"/>
                <w:color w:val="000000"/>
                <w:kern w:val="0"/>
                <w:szCs w:val="21"/>
              </w:rPr>
              <w:t>“县级以上人民政府发展改革部门负责对本行政区域内的招标投标工作进行指导和协调，并对本级人民政府确定的重大建设项目建设过程中的工程招标投标进行监督检查。”</w:t>
            </w:r>
          </w:p>
        </w:tc>
        <w:tc>
          <w:tcPr>
            <w:tcW w:w="73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bCs/>
                <w:color w:val="000000"/>
                <w:kern w:val="0"/>
                <w:szCs w:val="21"/>
                <w:lang w:eastAsia="zh-CN"/>
              </w:rPr>
            </w:pPr>
            <w:r>
              <w:rPr>
                <w:rFonts w:hint="eastAsia" w:ascii="仿宋_GB2312" w:hAnsi="仿宋_GB2312" w:eastAsia="仿宋_GB2312" w:cs="仿宋_GB2312"/>
                <w:bCs/>
                <w:color w:val="000000"/>
                <w:kern w:val="0"/>
                <w:szCs w:val="21"/>
                <w:lang w:eastAsia="zh-CN"/>
              </w:rPr>
              <w:t>固定资产投资科、项目办</w:t>
            </w:r>
          </w:p>
        </w:tc>
        <w:tc>
          <w:tcPr>
            <w:tcW w:w="765" w:type="dxa"/>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为保证本系统内“进一次门、查多项事”， 政府投资重大项目监督管理和招标投标监督检查合并执行。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00" w:hRule="atLeast"/>
        </w:trPr>
        <w:tc>
          <w:tcPr>
            <w:tcW w:w="409" w:type="dxa"/>
            <w:vAlign w:val="center"/>
          </w:tcPr>
          <w:p>
            <w:pPr>
              <w:widowControl/>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 w:val="21"/>
                <w:szCs w:val="21"/>
                <w:lang w:val="en-US" w:eastAsia="zh-CN"/>
              </w:rPr>
              <w:t>5</w:t>
            </w:r>
          </w:p>
        </w:tc>
        <w:tc>
          <w:tcPr>
            <w:tcW w:w="890"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地方储备粮监督检查</w:t>
            </w:r>
          </w:p>
        </w:tc>
        <w:tc>
          <w:tcPr>
            <w:tcW w:w="587"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地方储备粮承储企业</w:t>
            </w:r>
          </w:p>
        </w:tc>
        <w:tc>
          <w:tcPr>
            <w:tcW w:w="3834"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1.执行地方储备粮收购、轮换、销售、动用计划等情况。</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2.地方储备粮库存账实相符、账账相符等情况。</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3.地方储备粮库存质量安全等情况。</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4.地方储备粮储存安全情况等情况。</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5.地方储备粮承储企业仓库条件等情况。</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6.其他依法抽查内容</w:t>
            </w:r>
          </w:p>
        </w:tc>
        <w:tc>
          <w:tcPr>
            <w:tcW w:w="555"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一般检查事项</w:t>
            </w:r>
          </w:p>
        </w:tc>
        <w:tc>
          <w:tcPr>
            <w:tcW w:w="49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1"/>
                <w:szCs w:val="21"/>
              </w:rPr>
              <w:t>实地核查、书</w:t>
            </w:r>
            <w:r>
              <w:rPr>
                <w:rFonts w:hint="eastAsia" w:ascii="仿宋_GB2312" w:hAnsi="仿宋_GB2312" w:eastAsia="仿宋_GB2312" w:cs="仿宋_GB2312"/>
                <w:color w:val="auto"/>
                <w:kern w:val="0"/>
                <w:sz w:val="21"/>
                <w:szCs w:val="21"/>
                <w:lang w:val="en-US" w:eastAsia="zh-CN"/>
              </w:rPr>
              <w:t>面</w:t>
            </w:r>
            <w:r>
              <w:rPr>
                <w:rFonts w:hint="eastAsia" w:ascii="仿宋_GB2312" w:hAnsi="仿宋_GB2312" w:eastAsia="仿宋_GB2312" w:cs="仿宋_GB2312"/>
                <w:color w:val="auto"/>
                <w:kern w:val="0"/>
                <w:sz w:val="21"/>
                <w:szCs w:val="21"/>
              </w:rPr>
              <w:t>检查等</w:t>
            </w:r>
          </w:p>
        </w:tc>
        <w:tc>
          <w:tcPr>
            <w:tcW w:w="870"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抽查比例不少于5%，抽查次数不少于1次</w:t>
            </w:r>
          </w:p>
        </w:tc>
        <w:tc>
          <w:tcPr>
            <w:tcW w:w="1110"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市、区县两级发展改革部门</w:t>
            </w:r>
          </w:p>
        </w:tc>
        <w:tc>
          <w:tcPr>
            <w:tcW w:w="3768" w:type="dxa"/>
            <w:vAlign w:val="center"/>
          </w:tcPr>
          <w:p>
            <w:pPr>
              <w:widowControl/>
              <w:spacing w:line="280" w:lineRule="exact"/>
              <w:jc w:val="left"/>
              <w:rPr>
                <w:rFonts w:hint="eastAsia" w:ascii="仿宋_GB2312" w:hAnsi="仿宋_GB2312" w:eastAsia="仿宋_GB2312" w:cs="仿宋_GB2312"/>
                <w:bCs/>
                <w:color w:val="auto"/>
                <w:kern w:val="0"/>
                <w:szCs w:val="21"/>
              </w:rPr>
            </w:pPr>
            <w:r>
              <w:rPr>
                <w:rFonts w:hint="eastAsia" w:ascii="仿宋_GB2312" w:hAnsi="仿宋_GB2312" w:eastAsia="仿宋_GB2312" w:cs="仿宋_GB2312"/>
                <w:color w:val="auto"/>
                <w:kern w:val="0"/>
                <w:szCs w:val="21"/>
              </w:rPr>
              <w:t xml:space="preserve"> 《山东省地方储备粮管理办法》第五条 各级粮食行政管理部门负责本级储备粮的管理工作。</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 xml:space="preserve">    第三十条 粮食行政管理部门应当依法对承储企业执行本办法及有关粮食法律、法规、规章情况进行监督检查，并可以在监督检查过程中行使下列职权：（一）进入承储企业检查地方储备粮的数量、质量和储存安全状况；（二）向有关单位和人员了解地方储备粮收购、年度轮换计划及动用命令的执行情况；（三）调阅地方储备粮经营管理的有关资料、凭证；（四）依法查处违法行为。</w:t>
            </w:r>
          </w:p>
        </w:tc>
        <w:tc>
          <w:tcPr>
            <w:tcW w:w="73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bCs/>
                <w:color w:val="auto"/>
                <w:kern w:val="0"/>
                <w:szCs w:val="21"/>
                <w:lang w:eastAsia="zh-CN"/>
              </w:rPr>
            </w:pPr>
            <w:r>
              <w:rPr>
                <w:rFonts w:hint="eastAsia" w:ascii="仿宋_GB2312" w:hAnsi="仿宋_GB2312" w:eastAsia="仿宋_GB2312" w:cs="仿宋_GB2312"/>
                <w:bCs/>
                <w:color w:val="auto"/>
                <w:kern w:val="0"/>
                <w:sz w:val="21"/>
                <w:szCs w:val="21"/>
                <w:lang w:eastAsia="zh-CN"/>
              </w:rPr>
              <w:t>粮食监管科</w:t>
            </w:r>
          </w:p>
        </w:tc>
        <w:tc>
          <w:tcPr>
            <w:tcW w:w="765" w:type="dxa"/>
            <w:vAlign w:val="center"/>
          </w:tcPr>
          <w:p>
            <w:pPr>
              <w:widowControl/>
              <w:jc w:val="left"/>
              <w:rPr>
                <w:rFonts w:hint="default" w:ascii="Times New Roman" w:hAnsi="Times New Roman" w:eastAsia="仿宋"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34" w:hRule="atLeast"/>
        </w:trPr>
        <w:tc>
          <w:tcPr>
            <w:tcW w:w="409" w:type="dxa"/>
            <w:vAlign w:val="center"/>
          </w:tcPr>
          <w:p>
            <w:pPr>
              <w:widowControl/>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 w:val="21"/>
                <w:szCs w:val="21"/>
                <w:lang w:val="en-US" w:eastAsia="zh-CN"/>
              </w:rPr>
              <w:t>6</w:t>
            </w:r>
          </w:p>
        </w:tc>
        <w:tc>
          <w:tcPr>
            <w:tcW w:w="890"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粮食库存检查</w:t>
            </w:r>
          </w:p>
        </w:tc>
        <w:tc>
          <w:tcPr>
            <w:tcW w:w="587"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各类粮食收储企业</w:t>
            </w:r>
          </w:p>
        </w:tc>
        <w:tc>
          <w:tcPr>
            <w:tcW w:w="3834"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1.粮食库存账实相符、账账相符情况。</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2.库存粮食质量安全情况。</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3.地方储备粮轮换情况。</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4.企业安全储粮等情况。</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5.企业仓储管理等情况。</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6.其他依法抽查内容。</w:t>
            </w:r>
          </w:p>
        </w:tc>
        <w:tc>
          <w:tcPr>
            <w:tcW w:w="555"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一般检查事项</w:t>
            </w:r>
          </w:p>
        </w:tc>
        <w:tc>
          <w:tcPr>
            <w:tcW w:w="49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实地核查、书</w:t>
            </w:r>
            <w:r>
              <w:rPr>
                <w:rFonts w:hint="eastAsia" w:ascii="仿宋_GB2312" w:hAnsi="仿宋_GB2312" w:eastAsia="仿宋_GB2312" w:cs="仿宋_GB2312"/>
                <w:color w:val="auto"/>
                <w:kern w:val="0"/>
                <w:szCs w:val="21"/>
                <w:lang w:val="en-US" w:eastAsia="zh-CN"/>
              </w:rPr>
              <w:t>面</w:t>
            </w:r>
            <w:r>
              <w:rPr>
                <w:rFonts w:hint="eastAsia" w:ascii="仿宋_GB2312" w:hAnsi="仿宋_GB2312" w:eastAsia="仿宋_GB2312" w:cs="仿宋_GB2312"/>
                <w:color w:val="auto"/>
                <w:kern w:val="0"/>
                <w:szCs w:val="21"/>
              </w:rPr>
              <w:t>检查等</w:t>
            </w:r>
          </w:p>
        </w:tc>
        <w:tc>
          <w:tcPr>
            <w:tcW w:w="870" w:type="dxa"/>
            <w:vAlign w:val="center"/>
          </w:tcPr>
          <w:p>
            <w:pPr>
              <w:widowControl/>
              <w:jc w:val="left"/>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根据检查工作实际情况确</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定。</w:t>
            </w:r>
          </w:p>
        </w:tc>
        <w:tc>
          <w:tcPr>
            <w:tcW w:w="1110"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市、区县两级发展改革部门</w:t>
            </w:r>
          </w:p>
        </w:tc>
        <w:tc>
          <w:tcPr>
            <w:tcW w:w="3768" w:type="dxa"/>
            <w:vAlign w:val="center"/>
          </w:tcPr>
          <w:p>
            <w:pPr>
              <w:widowControl/>
              <w:spacing w:line="280" w:lineRule="exact"/>
              <w:jc w:val="left"/>
              <w:rPr>
                <w:rFonts w:hint="eastAsia" w:ascii="仿宋_GB2312" w:hAnsi="仿宋_GB2312" w:eastAsia="仿宋_GB2312" w:cs="仿宋_GB2312"/>
                <w:bCs/>
                <w:color w:val="auto"/>
                <w:kern w:val="0"/>
                <w:szCs w:val="21"/>
              </w:rPr>
            </w:pPr>
            <w:r>
              <w:rPr>
                <w:rFonts w:hint="eastAsia" w:ascii="仿宋_GB2312" w:hAnsi="仿宋_GB2312" w:eastAsia="仿宋_GB2312" w:cs="仿宋_GB2312"/>
                <w:color w:val="auto"/>
                <w:kern w:val="0"/>
                <w:szCs w:val="21"/>
              </w:rPr>
              <w:t>《粮食流通管理条例》第三十四条第一款：粮食行政管理部门依照本条例对粮食经营者从事粮食收购、储存、运输活动和政策性用粮的购销活动，以及执行国家粮食流通统计制度的情况进行监督检查。</w:t>
            </w:r>
            <w:r>
              <w:rPr>
                <w:rFonts w:hint="eastAsia" w:ascii="仿宋_GB2312" w:hAnsi="仿宋_GB2312" w:eastAsia="仿宋_GB2312" w:cs="仿宋_GB2312"/>
                <w:color w:val="auto"/>
                <w:kern w:val="0"/>
                <w:szCs w:val="21"/>
              </w:rPr>
              <w:br w:type="textWrapping"/>
            </w:r>
            <w:r>
              <w:rPr>
                <w:rFonts w:hint="eastAsia" w:ascii="仿宋_GB2312" w:hAnsi="仿宋_GB2312" w:eastAsia="仿宋_GB2312" w:cs="仿宋_GB2312"/>
                <w:color w:val="auto"/>
                <w:kern w:val="0"/>
                <w:szCs w:val="21"/>
              </w:rPr>
              <w:t>《粮油仓储管理办法》第五条第二款：县级以上地方人民政府粮食行政管理部门负责本行政区域的粮油仓储监督管理工作。</w:t>
            </w:r>
          </w:p>
        </w:tc>
        <w:tc>
          <w:tcPr>
            <w:tcW w:w="73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bCs/>
                <w:color w:val="auto"/>
                <w:kern w:val="0"/>
                <w:szCs w:val="21"/>
                <w:lang w:eastAsia="zh-CN"/>
              </w:rPr>
            </w:pPr>
            <w:r>
              <w:rPr>
                <w:rFonts w:hint="eastAsia" w:ascii="仿宋_GB2312" w:hAnsi="仿宋_GB2312" w:eastAsia="仿宋_GB2312" w:cs="仿宋_GB2312"/>
                <w:bCs/>
                <w:color w:val="auto"/>
                <w:kern w:val="0"/>
                <w:sz w:val="21"/>
                <w:szCs w:val="21"/>
                <w:lang w:eastAsia="zh-CN"/>
              </w:rPr>
              <w:t>粮食监管科</w:t>
            </w:r>
          </w:p>
        </w:tc>
        <w:tc>
          <w:tcPr>
            <w:tcW w:w="765" w:type="dxa"/>
            <w:vAlign w:val="center"/>
          </w:tcPr>
          <w:p>
            <w:pPr>
              <w:widowControl/>
              <w:jc w:val="left"/>
              <w:rPr>
                <w:rFonts w:hint="default" w:ascii="Times New Roman" w:hAnsi="Times New Roman" w:eastAsia="仿宋"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84" w:hRule="atLeast"/>
        </w:trPr>
        <w:tc>
          <w:tcPr>
            <w:tcW w:w="409" w:type="dxa"/>
            <w:vAlign w:val="center"/>
          </w:tcPr>
          <w:p>
            <w:pPr>
              <w:widowControl/>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 w:val="21"/>
                <w:szCs w:val="21"/>
                <w:lang w:val="en-US" w:eastAsia="zh-CN"/>
              </w:rPr>
              <w:t>7</w:t>
            </w:r>
          </w:p>
        </w:tc>
        <w:tc>
          <w:tcPr>
            <w:tcW w:w="890"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粮食收购政策监督检查</w:t>
            </w:r>
          </w:p>
        </w:tc>
        <w:tc>
          <w:tcPr>
            <w:tcW w:w="587"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从事粮食收购活动的经营者</w:t>
            </w:r>
          </w:p>
        </w:tc>
        <w:tc>
          <w:tcPr>
            <w:tcW w:w="3834" w:type="dxa"/>
            <w:vAlign w:val="center"/>
          </w:tcPr>
          <w:p>
            <w:pPr>
              <w:widowControl/>
              <w:numPr>
                <w:ilvl w:val="0"/>
                <w:numId w:val="1"/>
              </w:numPr>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粮食收购企业遵守《粮食流通管理条例》等粮食法律法规情况；</w:t>
            </w:r>
          </w:p>
          <w:p>
            <w:pPr>
              <w:widowControl/>
              <w:numPr>
                <w:ilvl w:val="0"/>
                <w:numId w:val="1"/>
              </w:numPr>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粮食收购企业具有粮食收购资格情况；</w:t>
            </w:r>
          </w:p>
          <w:p>
            <w:pPr>
              <w:widowControl/>
              <w:numPr>
                <w:ilvl w:val="0"/>
                <w:numId w:val="1"/>
              </w:numPr>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粮食收购企业执行“五要五不准”粮食收购守则情况；</w:t>
            </w:r>
          </w:p>
          <w:p>
            <w:pPr>
              <w:widowControl/>
              <w:numPr>
                <w:ilvl w:val="0"/>
                <w:numId w:val="1"/>
              </w:numPr>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粮食收购企业开展粮食收购政策宣传、验质检斤、粮款支付、报送收购进度等工作情况；</w:t>
            </w:r>
          </w:p>
          <w:p>
            <w:pPr>
              <w:widowControl/>
              <w:numPr>
                <w:ilvl w:val="0"/>
                <w:numId w:val="1"/>
              </w:numPr>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政策性粮食收购主体执行国家最低收购价等粮食收购政策情况;</w:t>
            </w:r>
          </w:p>
          <w:p>
            <w:pPr>
              <w:widowControl/>
              <w:numPr>
                <w:ilvl w:val="0"/>
                <w:numId w:val="1"/>
              </w:numPr>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其他依法抽查内容。</w:t>
            </w:r>
          </w:p>
        </w:tc>
        <w:tc>
          <w:tcPr>
            <w:tcW w:w="555"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一般检查事项</w:t>
            </w:r>
          </w:p>
        </w:tc>
        <w:tc>
          <w:tcPr>
            <w:tcW w:w="49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1"/>
                <w:szCs w:val="21"/>
              </w:rPr>
              <w:t>实地核查、书</w:t>
            </w:r>
            <w:r>
              <w:rPr>
                <w:rFonts w:hint="eastAsia" w:ascii="仿宋_GB2312" w:hAnsi="仿宋_GB2312" w:eastAsia="仿宋_GB2312" w:cs="仿宋_GB2312"/>
                <w:color w:val="auto"/>
                <w:kern w:val="0"/>
                <w:sz w:val="21"/>
                <w:szCs w:val="21"/>
                <w:lang w:val="en-US" w:eastAsia="zh-CN"/>
              </w:rPr>
              <w:t>面</w:t>
            </w:r>
            <w:r>
              <w:rPr>
                <w:rFonts w:hint="eastAsia" w:ascii="仿宋_GB2312" w:hAnsi="仿宋_GB2312" w:eastAsia="仿宋_GB2312" w:cs="仿宋_GB2312"/>
                <w:color w:val="auto"/>
                <w:kern w:val="0"/>
                <w:sz w:val="21"/>
                <w:szCs w:val="21"/>
              </w:rPr>
              <w:t>检查等</w:t>
            </w:r>
          </w:p>
        </w:tc>
        <w:tc>
          <w:tcPr>
            <w:tcW w:w="870"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抽查比例不少于5%，抽查次数不少于1次。</w:t>
            </w:r>
          </w:p>
        </w:tc>
        <w:tc>
          <w:tcPr>
            <w:tcW w:w="1110"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市、区县两级发展改革部门</w:t>
            </w:r>
          </w:p>
        </w:tc>
        <w:tc>
          <w:tcPr>
            <w:tcW w:w="3768" w:type="dxa"/>
            <w:vAlign w:val="center"/>
          </w:tcPr>
          <w:p>
            <w:pPr>
              <w:widowControl/>
              <w:spacing w:line="280" w:lineRule="exact"/>
              <w:jc w:val="left"/>
              <w:rPr>
                <w:rFonts w:hint="eastAsia" w:ascii="仿宋_GB2312" w:hAnsi="仿宋_GB2312" w:eastAsia="仿宋_GB2312" w:cs="仿宋_GB2312"/>
                <w:bCs/>
                <w:color w:val="auto"/>
                <w:kern w:val="0"/>
                <w:szCs w:val="21"/>
              </w:rPr>
            </w:pPr>
            <w:r>
              <w:rPr>
                <w:rFonts w:hint="eastAsia" w:ascii="仿宋_GB2312" w:hAnsi="仿宋_GB2312" w:eastAsia="仿宋_GB2312" w:cs="仿宋_GB2312"/>
                <w:color w:val="auto"/>
                <w:kern w:val="0"/>
                <w:szCs w:val="21"/>
              </w:rPr>
              <w:t xml:space="preserve">《粮食流通管理条例》第三十四条第一款：“粮食行政管理部门依照本条例对粮食经营者从事粮食收购、储存、运输活动和政策性用粮的购销活动，以及执行国家粮食流通统计制度的情况进行监督检查。”                                              </w:t>
            </w:r>
          </w:p>
        </w:tc>
        <w:tc>
          <w:tcPr>
            <w:tcW w:w="73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bCs/>
                <w:color w:val="auto"/>
                <w:kern w:val="0"/>
                <w:szCs w:val="21"/>
                <w:lang w:eastAsia="zh-CN"/>
              </w:rPr>
            </w:pPr>
            <w:r>
              <w:rPr>
                <w:rFonts w:hint="eastAsia" w:ascii="仿宋_GB2312" w:hAnsi="仿宋_GB2312" w:eastAsia="仿宋_GB2312" w:cs="仿宋_GB2312"/>
                <w:bCs/>
                <w:color w:val="auto"/>
                <w:kern w:val="0"/>
                <w:sz w:val="21"/>
                <w:szCs w:val="21"/>
                <w:lang w:eastAsia="zh-CN"/>
              </w:rPr>
              <w:t>粮食监管科</w:t>
            </w:r>
          </w:p>
        </w:tc>
        <w:tc>
          <w:tcPr>
            <w:tcW w:w="765" w:type="dxa"/>
            <w:vAlign w:val="center"/>
          </w:tcPr>
          <w:p>
            <w:pPr>
              <w:widowControl/>
              <w:jc w:val="left"/>
              <w:rPr>
                <w:rFonts w:hint="default" w:ascii="Times New Roman" w:hAnsi="Times New Roman" w:eastAsia="仿宋"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84" w:hRule="atLeast"/>
        </w:trPr>
        <w:tc>
          <w:tcPr>
            <w:tcW w:w="409" w:type="dxa"/>
            <w:vAlign w:val="center"/>
          </w:tcPr>
          <w:p>
            <w:pPr>
              <w:widowControl/>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 w:val="21"/>
                <w:szCs w:val="21"/>
                <w:lang w:val="en-US" w:eastAsia="zh-CN"/>
              </w:rPr>
              <w:t>8</w:t>
            </w:r>
          </w:p>
        </w:tc>
        <w:tc>
          <w:tcPr>
            <w:tcW w:w="890"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政策性粮食销售出库、跨省移库等任务监督检查</w:t>
            </w:r>
          </w:p>
        </w:tc>
        <w:tc>
          <w:tcPr>
            <w:tcW w:w="587"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政策性粮食任务承担企业</w:t>
            </w:r>
          </w:p>
        </w:tc>
        <w:tc>
          <w:tcPr>
            <w:tcW w:w="3834"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1.承储企业在粮食销售出库过程中是否掺杂使假；</w:t>
            </w:r>
          </w:p>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2.承储企业是否向买方额外索要收取其他费用问题；</w:t>
            </w:r>
          </w:p>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3.承储企业是否不按照交易细则和合同规定的品种、数量、质量及时交割；</w:t>
            </w:r>
          </w:p>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4.承储企业是否设置障碍或以各种借口拖延阻挠出库等；</w:t>
            </w:r>
          </w:p>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5.买方企业是否执行政策规定、交易规则，是否违背诚信、歪曲事实导致出库纠纷及违约、毁约等；</w:t>
            </w:r>
          </w:p>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6.其他政策性粮食任务执行情况。</w:t>
            </w:r>
          </w:p>
        </w:tc>
        <w:tc>
          <w:tcPr>
            <w:tcW w:w="555"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一般检查事项</w:t>
            </w:r>
          </w:p>
        </w:tc>
        <w:tc>
          <w:tcPr>
            <w:tcW w:w="49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21"/>
                <w:szCs w:val="21"/>
              </w:rPr>
              <w:t>实地核查、书</w:t>
            </w:r>
            <w:r>
              <w:rPr>
                <w:rFonts w:hint="eastAsia" w:ascii="仿宋_GB2312" w:hAnsi="仿宋_GB2312" w:eastAsia="仿宋_GB2312" w:cs="仿宋_GB2312"/>
                <w:color w:val="auto"/>
                <w:kern w:val="0"/>
                <w:sz w:val="21"/>
                <w:szCs w:val="21"/>
                <w:lang w:val="en-US" w:eastAsia="zh-CN"/>
              </w:rPr>
              <w:t>面</w:t>
            </w:r>
            <w:r>
              <w:rPr>
                <w:rFonts w:hint="eastAsia" w:ascii="仿宋_GB2312" w:hAnsi="仿宋_GB2312" w:eastAsia="仿宋_GB2312" w:cs="仿宋_GB2312"/>
                <w:color w:val="auto"/>
                <w:kern w:val="0"/>
                <w:sz w:val="21"/>
                <w:szCs w:val="21"/>
              </w:rPr>
              <w:t>检查等</w:t>
            </w:r>
          </w:p>
        </w:tc>
        <w:tc>
          <w:tcPr>
            <w:tcW w:w="870"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抽查比例不少于5%，抽查次数不少于1次。</w:t>
            </w:r>
          </w:p>
        </w:tc>
        <w:tc>
          <w:tcPr>
            <w:tcW w:w="1110"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市、区县两级发展改革部门</w:t>
            </w:r>
          </w:p>
        </w:tc>
        <w:tc>
          <w:tcPr>
            <w:tcW w:w="3768" w:type="dxa"/>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xml:space="preserve">   《粮食流通管理条例》第三十四条第一款 粮食行政管理部门依照本条例对粮食经营者从事粮食收购、储存、运输活动和政策性用粮的购销活动，以及执行国家粮食流通统计制度的情况进行监督检查。</w:t>
            </w:r>
          </w:p>
          <w:p>
            <w:pPr>
              <w:widowControl/>
              <w:spacing w:line="280" w:lineRule="exact"/>
              <w:ind w:firstLine="420" w:firstLineChars="200"/>
              <w:jc w:val="left"/>
              <w:rPr>
                <w:rFonts w:hint="eastAsia" w:ascii="仿宋_GB2312" w:hAnsi="仿宋_GB2312" w:eastAsia="仿宋_GB2312" w:cs="仿宋_GB2312"/>
                <w:bCs/>
                <w:color w:val="auto"/>
                <w:kern w:val="0"/>
                <w:szCs w:val="21"/>
              </w:rPr>
            </w:pPr>
            <w:r>
              <w:rPr>
                <w:rFonts w:hint="eastAsia" w:ascii="仿宋_GB2312" w:hAnsi="仿宋_GB2312" w:eastAsia="仿宋_GB2312" w:cs="仿宋_GB2312"/>
                <w:color w:val="auto"/>
                <w:kern w:val="0"/>
                <w:szCs w:val="21"/>
              </w:rPr>
              <w:t xml:space="preserve">《国家政策性粮食出库管理暂行办法》第五条：“国家粮食行政管理部门负责组织指导地方人民政府粮食行政管理部门对国家政策性粮食出库进行监督检查。县级以上地方人民政府粮食行政管理部门负责对本地区国家政策性粮食出库进行监督检查，依法查处出库中的违法违规行为，督促承储库履行出库义务，并及时协调处理直属库移交的本地区非直属库出库纠纷。” </w:t>
            </w:r>
          </w:p>
        </w:tc>
        <w:tc>
          <w:tcPr>
            <w:tcW w:w="73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bCs/>
                <w:color w:val="auto"/>
                <w:kern w:val="0"/>
                <w:szCs w:val="21"/>
                <w:lang w:eastAsia="zh-CN"/>
              </w:rPr>
            </w:pPr>
            <w:r>
              <w:rPr>
                <w:rFonts w:hint="eastAsia" w:ascii="仿宋_GB2312" w:hAnsi="仿宋_GB2312" w:eastAsia="仿宋_GB2312" w:cs="仿宋_GB2312"/>
                <w:color w:val="auto"/>
                <w:kern w:val="0"/>
                <w:sz w:val="21"/>
                <w:szCs w:val="21"/>
                <w:lang w:eastAsia="zh-CN"/>
              </w:rPr>
              <w:t>粮食监管科</w:t>
            </w:r>
          </w:p>
        </w:tc>
        <w:tc>
          <w:tcPr>
            <w:tcW w:w="765" w:type="dxa"/>
            <w:vAlign w:val="center"/>
          </w:tcPr>
          <w:p>
            <w:pPr>
              <w:widowControl/>
              <w:jc w:val="left"/>
              <w:rPr>
                <w:rFonts w:hint="default" w:ascii="Times New Roman" w:hAnsi="Times New Roman" w:eastAsia="仿宋"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2" w:hRule="atLeast"/>
        </w:trPr>
        <w:tc>
          <w:tcPr>
            <w:tcW w:w="409" w:type="dxa"/>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9</w:t>
            </w:r>
          </w:p>
        </w:tc>
        <w:tc>
          <w:tcPr>
            <w:tcW w:w="890" w:type="dxa"/>
            <w:vAlign w:val="center"/>
          </w:tcPr>
          <w:p>
            <w:pPr>
              <w:widowControl/>
              <w:spacing w:line="280" w:lineRule="exact"/>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Cs w:val="21"/>
              </w:rPr>
              <w:t>社会粮食流通监督检查</w:t>
            </w:r>
          </w:p>
        </w:tc>
        <w:tc>
          <w:tcPr>
            <w:tcW w:w="587" w:type="dxa"/>
            <w:vAlign w:val="center"/>
          </w:tcPr>
          <w:p>
            <w:pPr>
              <w:widowControl/>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Cs w:val="21"/>
              </w:rPr>
              <w:t>从事粮食收购、销售、储存等活动的经营者</w:t>
            </w:r>
          </w:p>
        </w:tc>
        <w:tc>
          <w:tcPr>
            <w:tcW w:w="3834" w:type="dxa"/>
            <w:vAlign w:val="center"/>
          </w:tcPr>
          <w:p>
            <w:pPr>
              <w:widowControl/>
              <w:numPr>
                <w:ilvl w:val="0"/>
                <w:numId w:val="2"/>
              </w:numPr>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粮食收购者具有收购资格情况；</w:t>
            </w:r>
          </w:p>
          <w:p>
            <w:pPr>
              <w:widowControl/>
              <w:numPr>
                <w:ilvl w:val="0"/>
                <w:numId w:val="2"/>
              </w:numPr>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粮食收购者执行质量标准情况；</w:t>
            </w:r>
          </w:p>
          <w:p>
            <w:pPr>
              <w:widowControl/>
              <w:numPr>
                <w:ilvl w:val="0"/>
                <w:numId w:val="2"/>
              </w:numPr>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粮食收购者支付售粮款情况；</w:t>
            </w:r>
          </w:p>
          <w:p>
            <w:pPr>
              <w:widowControl/>
              <w:numPr>
                <w:ilvl w:val="0"/>
                <w:numId w:val="2"/>
              </w:numPr>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粮食经营者建立台账和报送统计数据情况；</w:t>
            </w:r>
          </w:p>
          <w:p>
            <w:pPr>
              <w:widowControl/>
              <w:numPr>
                <w:ilvl w:val="0"/>
                <w:numId w:val="2"/>
              </w:numPr>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陈粮出库进行质量鉴定情况；</w:t>
            </w:r>
          </w:p>
          <w:p>
            <w:pPr>
              <w:widowControl/>
              <w:numPr>
                <w:ilvl w:val="0"/>
                <w:numId w:val="2"/>
              </w:numPr>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粮食经营者执行最低最高库存量情况；</w:t>
            </w:r>
          </w:p>
          <w:p>
            <w:pPr>
              <w:widowControl/>
              <w:numPr>
                <w:ilvl w:val="0"/>
                <w:numId w:val="2"/>
              </w:numPr>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粮食经营者使用仓储设施、运输工具情况；</w:t>
            </w:r>
          </w:p>
          <w:p>
            <w:pPr>
              <w:widowControl/>
              <w:numPr>
                <w:ilvl w:val="0"/>
                <w:numId w:val="2"/>
              </w:numP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Cs w:val="21"/>
              </w:rPr>
              <w:t>其他有关粮食流通的法律、法规、政策及各项规章制度的执行情况。</w:t>
            </w:r>
          </w:p>
        </w:tc>
        <w:tc>
          <w:tcPr>
            <w:tcW w:w="555" w:type="dxa"/>
            <w:vAlign w:val="center"/>
          </w:tcPr>
          <w:p>
            <w:pPr>
              <w:widowControl/>
              <w:spacing w:line="280" w:lineRule="exact"/>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Cs w:val="21"/>
              </w:rPr>
              <w:t>一般检查事项</w:t>
            </w:r>
          </w:p>
        </w:tc>
        <w:tc>
          <w:tcPr>
            <w:tcW w:w="495" w:type="dxa"/>
            <w:vAlign w:val="center"/>
          </w:tcPr>
          <w:p>
            <w:pPr>
              <w:widowControl/>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实地核查、书</w:t>
            </w:r>
            <w:r>
              <w:rPr>
                <w:rFonts w:hint="eastAsia" w:ascii="仿宋_GB2312" w:hAnsi="仿宋_GB2312" w:eastAsia="仿宋_GB2312" w:cs="仿宋_GB2312"/>
                <w:color w:val="auto"/>
                <w:kern w:val="0"/>
                <w:sz w:val="21"/>
                <w:szCs w:val="21"/>
                <w:lang w:val="en-US" w:eastAsia="zh-CN"/>
              </w:rPr>
              <w:t>面</w:t>
            </w:r>
            <w:r>
              <w:rPr>
                <w:rFonts w:hint="eastAsia" w:ascii="仿宋_GB2312" w:hAnsi="仿宋_GB2312" w:eastAsia="仿宋_GB2312" w:cs="仿宋_GB2312"/>
                <w:color w:val="auto"/>
                <w:kern w:val="0"/>
                <w:sz w:val="21"/>
                <w:szCs w:val="21"/>
              </w:rPr>
              <w:t>检查等</w:t>
            </w:r>
          </w:p>
        </w:tc>
        <w:tc>
          <w:tcPr>
            <w:tcW w:w="870" w:type="dxa"/>
            <w:vAlign w:val="center"/>
          </w:tcPr>
          <w:p>
            <w:pPr>
              <w:widowControl/>
              <w:spacing w:line="280" w:lineRule="exact"/>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Cs w:val="21"/>
              </w:rPr>
              <w:t>抽查比例不少于5%，抽查次数不少于1次。</w:t>
            </w:r>
          </w:p>
        </w:tc>
        <w:tc>
          <w:tcPr>
            <w:tcW w:w="1110" w:type="dxa"/>
            <w:vAlign w:val="center"/>
          </w:tcPr>
          <w:p>
            <w:pPr>
              <w:widowControl/>
              <w:spacing w:line="280" w:lineRule="exact"/>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Cs w:val="21"/>
              </w:rPr>
              <w:t>市、区县两级发展改革部门</w:t>
            </w:r>
          </w:p>
        </w:tc>
        <w:tc>
          <w:tcPr>
            <w:tcW w:w="3768" w:type="dxa"/>
            <w:vAlign w:val="center"/>
          </w:tcPr>
          <w:p>
            <w:pPr>
              <w:widowControl/>
              <w:spacing w:line="280" w:lineRule="exact"/>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Cs w:val="21"/>
              </w:rPr>
              <w:t>《粮食流通管理条例》第三十四条第一款 粮食行政管理部门依照本条例对粮食经营者从事粮食收购、储存、运输活动和政策性用粮的购销活动，以及执行国家粮食流通统计制度的情况进行监督检查。</w:t>
            </w:r>
          </w:p>
        </w:tc>
        <w:tc>
          <w:tcPr>
            <w:tcW w:w="73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粮食监管科</w:t>
            </w:r>
          </w:p>
        </w:tc>
        <w:tc>
          <w:tcPr>
            <w:tcW w:w="765" w:type="dxa"/>
            <w:vAlign w:val="center"/>
          </w:tcPr>
          <w:p>
            <w:pPr>
              <w:widowControl/>
              <w:jc w:val="left"/>
              <w:rPr>
                <w:rFonts w:hint="default" w:ascii="Times New Roman" w:hAnsi="Times New Roman" w:eastAsia="仿宋"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84" w:hRule="atLeast"/>
        </w:trPr>
        <w:tc>
          <w:tcPr>
            <w:tcW w:w="409" w:type="dxa"/>
            <w:vAlign w:val="center"/>
          </w:tcPr>
          <w:p>
            <w:pPr>
              <w:widowControl/>
              <w:jc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10</w:t>
            </w:r>
          </w:p>
        </w:tc>
        <w:tc>
          <w:tcPr>
            <w:tcW w:w="8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000000"/>
                <w:kern w:val="0"/>
                <w:szCs w:val="21"/>
              </w:rPr>
              <w:t>节能工作的监督监察</w:t>
            </w:r>
          </w:p>
        </w:tc>
        <w:tc>
          <w:tcPr>
            <w:tcW w:w="587"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000000"/>
                <w:kern w:val="0"/>
                <w:szCs w:val="21"/>
              </w:rPr>
              <w:t>机关、事业单位、企业、社会组织、公民</w:t>
            </w:r>
          </w:p>
        </w:tc>
        <w:tc>
          <w:tcPr>
            <w:tcW w:w="3834"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000000"/>
                <w:kern w:val="0"/>
                <w:szCs w:val="21"/>
              </w:rPr>
              <w:t>1、重点用能单位报送能源利用状况报告或能源利用状况报告内容真实性的情况；2、生产单位执行单位产品能耗限额标准情况；3、用能产品、设备和生产工艺淘汰制度执行情况；4、重点用能单位岗位设立、能源管理负责人聘任（备案）制度执行情况；5、重点和用能单位能源审计情况；6、固定资产投资项目节能评估审查和验收情况；7、拒绝节能监察或者伪造、隐匿、销毁、篡改有关证据的监察；8、从事节能咨询、设计、评估、检测、审计、认证等服务的机构是否提供虚假信息的监察；9、向本单位职工无偿或者低于市场价格提供能源，或者按照能源消费量给予补贴的监察。</w:t>
            </w:r>
          </w:p>
        </w:tc>
        <w:tc>
          <w:tcPr>
            <w:tcW w:w="55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000000"/>
                <w:kern w:val="0"/>
                <w:szCs w:val="21"/>
              </w:rPr>
              <w:t>重点检查和一般检查相结合</w:t>
            </w:r>
          </w:p>
        </w:tc>
        <w:tc>
          <w:tcPr>
            <w:tcW w:w="49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000000"/>
                <w:kern w:val="0"/>
                <w:szCs w:val="21"/>
              </w:rPr>
              <w:t>现场监察</w:t>
            </w:r>
          </w:p>
        </w:tc>
        <w:tc>
          <w:tcPr>
            <w:tcW w:w="87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000000"/>
                <w:kern w:val="0"/>
                <w:szCs w:val="21"/>
              </w:rPr>
              <w:t>每年不少于10次，每年抽查比例不低于5%-10%</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000000"/>
                <w:kern w:val="0"/>
                <w:szCs w:val="21"/>
              </w:rPr>
              <w:t>市节能安全监察支队执法部门</w:t>
            </w:r>
          </w:p>
        </w:tc>
        <w:tc>
          <w:tcPr>
            <w:tcW w:w="3768"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000000"/>
                <w:kern w:val="0"/>
                <w:szCs w:val="21"/>
              </w:rPr>
              <w:t>《节约能源法》（1997年11月主席令第77号通过，2007年10月修订，2016年7月修改）第十二条第一款:县级以上人民政府管理节能工作的部门和有关部门应当在各自的职责范围内，加强对节能法律、法规和节能标准执行情况的监督检查，依法查处违法用能行为；《山东省节约能源条例》（1997年6月通过，2009年7月修订，2017年9月修改）全文；《节能监察办法》（国家发改委令第33号）全文；《淄博市节约能源条例》(2013年11月通过，2014年1月施行)全文。</w:t>
            </w:r>
          </w:p>
        </w:tc>
        <w:tc>
          <w:tcPr>
            <w:tcW w:w="731"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szCs w:val="32"/>
                <w:lang w:eastAsia="zh-CN"/>
              </w:rPr>
              <w:t>能源综合</w:t>
            </w:r>
            <w:r>
              <w:rPr>
                <w:rFonts w:hint="eastAsia" w:ascii="仿宋_GB2312" w:hAnsi="仿宋_GB2312" w:eastAsia="仿宋_GB2312" w:cs="仿宋_GB2312"/>
                <w:szCs w:val="32"/>
              </w:rPr>
              <w:t>执法支队</w:t>
            </w:r>
          </w:p>
        </w:tc>
        <w:tc>
          <w:tcPr>
            <w:tcW w:w="765" w:type="dxa"/>
            <w:vAlign w:val="center"/>
          </w:tcPr>
          <w:p>
            <w:pPr>
              <w:widowControl/>
              <w:jc w:val="left"/>
              <w:rPr>
                <w:rFonts w:hint="default" w:ascii="Times New Roman" w:hAnsi="Times New Roman" w:eastAsia="仿宋" w:cs="Times New Roman"/>
                <w:color w:val="auto"/>
                <w:kern w:val="0"/>
                <w:szCs w:val="21"/>
              </w:rPr>
            </w:pP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tbl>
      <w:tblPr>
        <w:tblStyle w:val="3"/>
        <w:tblW w:w="13730" w:type="dxa"/>
        <w:tblInd w:w="0" w:type="dxa"/>
        <w:shd w:val="clear" w:color="auto" w:fill="auto"/>
        <w:tblLayout w:type="fixed"/>
        <w:tblCellMar>
          <w:top w:w="0" w:type="dxa"/>
          <w:left w:w="0" w:type="dxa"/>
          <w:bottom w:w="0" w:type="dxa"/>
          <w:right w:w="0" w:type="dxa"/>
        </w:tblCellMar>
      </w:tblPr>
      <w:tblGrid>
        <w:gridCol w:w="1460"/>
        <w:gridCol w:w="780"/>
        <w:gridCol w:w="960"/>
        <w:gridCol w:w="930"/>
        <w:gridCol w:w="600"/>
        <w:gridCol w:w="975"/>
        <w:gridCol w:w="525"/>
        <w:gridCol w:w="930"/>
        <w:gridCol w:w="1035"/>
        <w:gridCol w:w="1995"/>
        <w:gridCol w:w="1890"/>
        <w:gridCol w:w="1650"/>
      </w:tblGrid>
      <w:tr>
        <w:tblPrEx>
          <w:shd w:val="clear" w:color="auto" w:fill="auto"/>
          <w:tblCellMar>
            <w:top w:w="0" w:type="dxa"/>
            <w:left w:w="0" w:type="dxa"/>
            <w:bottom w:w="0" w:type="dxa"/>
            <w:right w:w="0" w:type="dxa"/>
          </w:tblCellMar>
        </w:tblPrEx>
        <w:trPr>
          <w:trHeight w:val="1650" w:hRule="atLeast"/>
        </w:trPr>
        <w:tc>
          <w:tcPr>
            <w:tcW w:w="13730" w:type="dxa"/>
            <w:gridSpan w:val="1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 w:cs="Times New Roman"/>
                <w:sz w:val="44"/>
                <w:szCs w:val="44"/>
                <w:lang w:val="en-US" w:eastAsia="zh-CN"/>
              </w:rPr>
            </w:pPr>
            <w:r>
              <w:rPr>
                <w:rFonts w:hint="default"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3</w:t>
            </w:r>
          </w:p>
          <w:p>
            <w:pPr>
              <w:jc w:val="center"/>
              <w:rPr>
                <w:rFonts w:ascii="方正小标宋简体" w:hAnsi="方正小标宋简体" w:eastAsia="方正小标宋简体" w:cs="方正小标宋简体"/>
                <w:i w:val="0"/>
                <w:color w:val="000000"/>
                <w:sz w:val="36"/>
                <w:szCs w:val="36"/>
                <w:u w:val="none"/>
              </w:rPr>
            </w:pPr>
            <w:r>
              <w:rPr>
                <w:rFonts w:hint="eastAsia" w:ascii="Times New Roman" w:hAnsi="Times New Roman" w:eastAsia="方正小标宋简体" w:cs="Times New Roman"/>
                <w:sz w:val="44"/>
                <w:szCs w:val="44"/>
                <w:lang w:val="en-US" w:eastAsia="zh-CN"/>
              </w:rPr>
              <w:t>执法检查人员名录库数据标准</w:t>
            </w:r>
          </w:p>
        </w:tc>
      </w:tr>
      <w:tr>
        <w:tblPrEx>
          <w:tblCellMar>
            <w:top w:w="0" w:type="dxa"/>
            <w:left w:w="0" w:type="dxa"/>
            <w:bottom w:w="0" w:type="dxa"/>
            <w:right w:w="0" w:type="dxa"/>
          </w:tblCellMar>
        </w:tblPrEx>
        <w:trPr>
          <w:trHeight w:val="1440"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登录账号（即执法证号）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身份证号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执法证号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所属科室</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职位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手机号码</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业务专长</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在职状态（填写“在职”或“不在职”）</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是否执法人员（可默认为“是”）</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所属工作单位</w:t>
            </w:r>
          </w:p>
        </w:tc>
      </w:tr>
      <w:tr>
        <w:tblPrEx>
          <w:tblCellMar>
            <w:top w:w="0" w:type="dxa"/>
            <w:left w:w="0" w:type="dxa"/>
            <w:bottom w:w="0" w:type="dxa"/>
            <w:right w:w="0" w:type="dxa"/>
          </w:tblCellMar>
        </w:tblPrEx>
        <w:trPr>
          <w:trHeight w:val="1485"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tbl>
      <w:tblPr>
        <w:tblStyle w:val="3"/>
        <w:tblW w:w="14490" w:type="dxa"/>
        <w:tblInd w:w="0" w:type="dxa"/>
        <w:shd w:val="clear" w:color="auto" w:fill="auto"/>
        <w:tblLayout w:type="fixed"/>
        <w:tblCellMar>
          <w:top w:w="0" w:type="dxa"/>
          <w:left w:w="0" w:type="dxa"/>
          <w:bottom w:w="0" w:type="dxa"/>
          <w:right w:w="0" w:type="dxa"/>
        </w:tblCellMar>
      </w:tblPr>
      <w:tblGrid>
        <w:gridCol w:w="1115"/>
        <w:gridCol w:w="915"/>
        <w:gridCol w:w="2055"/>
        <w:gridCol w:w="1147"/>
        <w:gridCol w:w="862"/>
        <w:gridCol w:w="886"/>
        <w:gridCol w:w="956"/>
        <w:gridCol w:w="820"/>
        <w:gridCol w:w="642"/>
        <w:gridCol w:w="642"/>
        <w:gridCol w:w="938"/>
        <w:gridCol w:w="879"/>
        <w:gridCol w:w="879"/>
        <w:gridCol w:w="879"/>
        <w:gridCol w:w="875"/>
      </w:tblGrid>
      <w:tr>
        <w:tblPrEx>
          <w:shd w:val="clear" w:color="auto" w:fill="auto"/>
          <w:tblCellMar>
            <w:top w:w="0" w:type="dxa"/>
            <w:left w:w="0" w:type="dxa"/>
            <w:bottom w:w="0" w:type="dxa"/>
            <w:right w:w="0" w:type="dxa"/>
          </w:tblCellMar>
        </w:tblPrEx>
        <w:trPr>
          <w:trHeight w:val="1635" w:hRule="atLeast"/>
        </w:trPr>
        <w:tc>
          <w:tcPr>
            <w:tcW w:w="14490" w:type="dxa"/>
            <w:gridSpan w:val="1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default"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4</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检查对象分类专项名录库数据标准</w:t>
            </w:r>
          </w:p>
        </w:tc>
      </w:tr>
      <w:tr>
        <w:tblPrEx>
          <w:tblCellMar>
            <w:top w:w="0" w:type="dxa"/>
            <w:left w:w="0" w:type="dxa"/>
            <w:bottom w:w="0" w:type="dxa"/>
            <w:right w:w="0" w:type="dxa"/>
          </w:tblCellMar>
        </w:tblPrEx>
        <w:trPr>
          <w:trHeight w:val="1350" w:hRule="atLeast"/>
        </w:trPr>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GXJG_CN(管辖机关)</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QYMC(检查对象名称)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TYSHXYDM(检查对象唯一编码)</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ZS(住所/地址)</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FZRXM(负责人姓名)</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LXDH(联系电话)</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JYFW(经营范围)</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GXGSS(管辖所)</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BQ(标签)</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BZ(备注)</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SF_SCDX(是否双重对象)</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DYDXDM(第一对象代码)</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DYDXMC(第一对象名称)</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DEDXDM(第二对象代码)</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DEDXMC(第二对象名称)</w:t>
            </w:r>
          </w:p>
        </w:tc>
      </w:tr>
      <w:tr>
        <w:tblPrEx>
          <w:tblCellMar>
            <w:top w:w="0" w:type="dxa"/>
            <w:left w:w="0" w:type="dxa"/>
            <w:bottom w:w="0" w:type="dxa"/>
            <w:right w:w="0" w:type="dxa"/>
          </w:tblCellMar>
        </w:tblPrEx>
        <w:trPr>
          <w:trHeight w:val="1260" w:hRule="atLeast"/>
        </w:trPr>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淄博市**区</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淄博市…项目</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9137030308177949X9_GB/T 19666-2005-01</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淄博市……</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张三</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1370537……</w:t>
            </w:r>
          </w:p>
        </w:tc>
        <w:tc>
          <w:tcPr>
            <w:tcW w:w="7510"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非必填项</w:t>
            </w:r>
          </w:p>
        </w:tc>
      </w:tr>
    </w:tbl>
    <w:p>
      <w:pPr>
        <w:rPr>
          <w:rFonts w:hint="eastAsia" w:ascii="仿宋_GB2312" w:hAnsi="仿宋_GB2312" w:eastAsia="仿宋_GB2312" w:cs="仿宋_GB2312"/>
          <w:sz w:val="32"/>
          <w:szCs w:val="32"/>
          <w:lang w:val="en-US" w:eastAsia="zh-CN"/>
        </w:rPr>
      </w:pPr>
    </w:p>
    <w:p/>
    <w:sectPr>
      <w:pgSz w:w="16838" w:h="11906" w:orient="landscape"/>
      <w:pgMar w:top="1553" w:right="1644" w:bottom="1553"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EF033D"/>
    <w:multiLevelType w:val="singleLevel"/>
    <w:tmpl w:val="B8EF033D"/>
    <w:lvl w:ilvl="0" w:tentative="0">
      <w:start w:val="1"/>
      <w:numFmt w:val="decimal"/>
      <w:lvlText w:val="%1."/>
      <w:lvlJc w:val="left"/>
      <w:pPr>
        <w:tabs>
          <w:tab w:val="left" w:pos="312"/>
        </w:tabs>
      </w:pPr>
    </w:lvl>
  </w:abstractNum>
  <w:abstractNum w:abstractNumId="1">
    <w:nsid w:val="5C602D08"/>
    <w:multiLevelType w:val="singleLevel"/>
    <w:tmpl w:val="5C602D0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C1856"/>
    <w:rsid w:val="432C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2020-06-03T01:50:00Z</dcterms:created>
  <dc:creator>大脸猫</dc:creator>
  <cp:lastModifiedBy>大脸猫</cp:lastModifiedBy>
  <dcterms:modified xsi:type="dcterms:W3CDTF">2020-06-03T01:51:30Z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